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rPr>
          <w:color w:val="0B2545"/>
        </w:rPr>
        <w:t>Análisis de Churn – Totalplay Residencial</w:t>
      </w:r>
    </w:p>
    <w:p>
      <w:pPr>
        <w:pStyle w:val="Heading1"/>
      </w:pPr>
      <w:r>
        <w:rPr>
          <w:color w:val="0B2545"/>
        </w:rPr>
        <w:t>Dirección de Operaciones – Totalplay</w:t>
      </w:r>
    </w:p>
    <w:p>
      <w:r>
        <w:rPr>
          <w:b/>
        </w:rPr>
        <w:t>Fecha:</w:t>
      </w:r>
      <w:r>
        <w:t xml:space="preserve"> 22 de abril de 2026</w:t>
      </w:r>
    </w:p>
    <w:p>
      <w:r>
        <w:rPr>
          <w:b/>
        </w:rPr>
        <w:t>Periodo analizado:</w:t>
      </w:r>
      <w:r>
        <w:t xml:space="preserve"> Enero – Marzo 2026</w:t>
      </w:r>
    </w:p>
    <w:p>
      <w:r>
        <w:rPr>
          <w:b/>
        </w:rPr>
        <w:t>Clasificación:</w:t>
      </w:r>
      <w:r>
        <w:t xml:space="preserve"> Uso Interno</w:t>
      </w:r>
    </w:p>
    <w:p>
      <w:pPr>
        <w:pBdr>
          <w:bottom w:val="single" w:sz="6" w:space="1" w:color="B0B6C2"/>
        </w:pBdr>
      </w:pPr>
    </w:p>
    <w:p>
      <w:pPr>
        <w:pStyle w:val="Heading1"/>
      </w:pPr>
      <w:r>
        <w:rPr>
          <w:color w:val="0B2545"/>
        </w:rPr>
        <w:t>1. Resumen</w:t>
      </w:r>
    </w:p>
    <w:p>
      <w:r>
        <w:t xml:space="preserve">Durante Q1 2026, Totalplay registró </w:t>
      </w:r>
      <w:r>
        <w:rPr>
          <w:b/>
        </w:rPr>
        <w:t>148,200 desconexiones netas</w:t>
      </w:r>
      <w:r>
        <w:t xml:space="preserve"> voluntarias en el segmento residencial, equivalente a un </w:t>
      </w:r>
      <w:r>
        <w:rPr>
          <w:b/>
        </w:rPr>
        <w:t>churn mensual promedio de 2.3%</w:t>
      </w:r>
      <w:r>
        <w:t xml:space="preserve">, superior al 1.8% objetivo. Aunque las altas brutas (788,400) compensaron y permitieron un crecimiento neto positivo, el costo de adquisición (CAC) subió a </w:t>
      </w:r>
      <w:r>
        <w:rPr>
          <w:b/>
        </w:rPr>
        <w:t>MXN 2,850 por cliente</w:t>
      </w:r>
      <w:r>
        <w:t>, presionando márgenes.</w:t>
      </w:r>
    </w:p>
    <w:p>
      <w:pPr>
        <w:pStyle w:val="Heading1"/>
      </w:pPr>
      <w:r>
        <w:rPr>
          <w:color w:val="0B2545"/>
        </w:rPr>
        <w:t>2. Causas Principales de Baja (encuestas de salida, n=8,400)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249"/>
        <w:gridCol w:w="3249"/>
        <w:gridCol w:w="3249"/>
      </w:tblGrid>
      <w:tr>
        <w:tc>
          <w:tcPr>
            <w:tcW w:type="dxa" w:w="3249"/>
            <w:shd w:val="clear" w:color="auto" w:fill="0B2545"/>
          </w:tcPr>
          <w:p>
            <w:r/>
            <w:r>
              <w:rPr>
                <w:b/>
                <w:color w:val="FFFFFF"/>
                <w:sz w:val="21"/>
              </w:rPr>
              <w:t>Causa de Baja</w:t>
            </w:r>
          </w:p>
        </w:tc>
        <w:tc>
          <w:tcPr>
            <w:tcW w:type="dxa" w:w="3249"/>
            <w:shd w:val="clear" w:color="auto" w:fill="0B2545"/>
          </w:tcPr>
          <w:p>
            <w:r/>
            <w:r>
              <w:rPr>
                <w:b/>
                <w:color w:val="FFFFFF"/>
                <w:sz w:val="21"/>
              </w:rPr>
              <w:t>% de Menciones</w:t>
            </w:r>
          </w:p>
        </w:tc>
        <w:tc>
          <w:tcPr>
            <w:tcW w:type="dxa" w:w="3249"/>
            <w:shd w:val="clear" w:color="auto" w:fill="0B2545"/>
          </w:tcPr>
          <w:p>
            <w:r/>
            <w:r>
              <w:rPr>
                <w:b/>
                <w:color w:val="FFFFFF"/>
                <w:sz w:val="21"/>
              </w:rPr>
              <w:t>Variación vs. Q4 2025</w:t>
            </w:r>
          </w:p>
        </w:tc>
      </w:tr>
      <w:tr>
        <w:tc>
          <w:tcPr>
            <w:tcW w:type="dxa" w:w="3249"/>
          </w:tcPr>
          <w:p>
            <w:r>
              <w:rPr>
                <w:sz w:val="21"/>
              </w:rPr>
            </w:r>
            <w:r>
              <w:rPr>
                <w:sz w:val="21"/>
              </w:rPr>
              <w:t>Precio / encontró oferta más barata</w:t>
            </w:r>
          </w:p>
        </w:tc>
        <w:tc>
          <w:tcPr>
            <w:tcW w:type="dxa" w:w="3249"/>
          </w:tcPr>
          <w:p>
            <w:r>
              <w:rPr>
                <w:sz w:val="21"/>
              </w:rPr>
            </w:r>
            <w:r>
              <w:rPr>
                <w:sz w:val="21"/>
              </w:rPr>
              <w:t>34.2%</w:t>
            </w:r>
          </w:p>
        </w:tc>
        <w:tc>
          <w:tcPr>
            <w:tcW w:type="dxa" w:w="3249"/>
          </w:tcPr>
          <w:p>
            <w:r>
              <w:rPr>
                <w:sz w:val="21"/>
              </w:rPr>
            </w:r>
            <w:r>
              <w:rPr>
                <w:sz w:val="21"/>
              </w:rPr>
              <w:t>+6.8 pp</w:t>
            </w:r>
          </w:p>
        </w:tc>
      </w:tr>
      <w:tr>
        <w:tc>
          <w:tcPr>
            <w:tcW w:type="dxa" w:w="3249"/>
          </w:tcPr>
          <w:p>
            <w:r>
              <w:rPr>
                <w:sz w:val="21"/>
              </w:rPr>
            </w:r>
            <w:r>
              <w:rPr>
                <w:sz w:val="21"/>
              </w:rPr>
              <w:t>Problemas de velocidad / intermitencia</w:t>
            </w:r>
          </w:p>
        </w:tc>
        <w:tc>
          <w:tcPr>
            <w:tcW w:type="dxa" w:w="3249"/>
          </w:tcPr>
          <w:p>
            <w:r>
              <w:rPr>
                <w:sz w:val="21"/>
              </w:rPr>
            </w:r>
            <w:r>
              <w:rPr>
                <w:sz w:val="21"/>
              </w:rPr>
              <w:t>21.7%</w:t>
            </w:r>
          </w:p>
        </w:tc>
        <w:tc>
          <w:tcPr>
            <w:tcW w:type="dxa" w:w="3249"/>
          </w:tcPr>
          <w:p>
            <w:r>
              <w:rPr>
                <w:sz w:val="21"/>
              </w:rPr>
            </w:r>
            <w:r>
              <w:rPr>
                <w:sz w:val="21"/>
              </w:rPr>
              <w:t>+2.1 pp</w:t>
            </w:r>
          </w:p>
        </w:tc>
      </w:tr>
      <w:tr>
        <w:tc>
          <w:tcPr>
            <w:tcW w:type="dxa" w:w="3249"/>
          </w:tcPr>
          <w:p>
            <w:r>
              <w:rPr>
                <w:sz w:val="21"/>
              </w:rPr>
            </w:r>
            <w:r>
              <w:rPr>
                <w:sz w:val="21"/>
              </w:rPr>
              <w:t>Mudanza a zona sin cobertura</w:t>
            </w:r>
          </w:p>
        </w:tc>
        <w:tc>
          <w:tcPr>
            <w:tcW w:type="dxa" w:w="3249"/>
          </w:tcPr>
          <w:p>
            <w:r>
              <w:rPr>
                <w:sz w:val="21"/>
              </w:rPr>
            </w:r>
            <w:r>
              <w:rPr>
                <w:sz w:val="21"/>
              </w:rPr>
              <w:t>14.9%</w:t>
            </w:r>
          </w:p>
        </w:tc>
        <w:tc>
          <w:tcPr>
            <w:tcW w:type="dxa" w:w="3249"/>
          </w:tcPr>
          <w:p>
            <w:r>
              <w:rPr>
                <w:sz w:val="21"/>
              </w:rPr>
            </w:r>
            <w:r>
              <w:rPr>
                <w:sz w:val="21"/>
              </w:rPr>
              <w:t>-1.2 pp</w:t>
            </w:r>
          </w:p>
        </w:tc>
      </w:tr>
      <w:tr>
        <w:tc>
          <w:tcPr>
            <w:tcW w:type="dxa" w:w="3249"/>
          </w:tcPr>
          <w:p>
            <w:r>
              <w:rPr>
                <w:sz w:val="21"/>
              </w:rPr>
            </w:r>
            <w:r>
              <w:rPr>
                <w:sz w:val="21"/>
              </w:rPr>
              <w:t>Mala atención al cliente</w:t>
            </w:r>
          </w:p>
        </w:tc>
        <w:tc>
          <w:tcPr>
            <w:tcW w:type="dxa" w:w="3249"/>
          </w:tcPr>
          <w:p>
            <w:r>
              <w:rPr>
                <w:sz w:val="21"/>
              </w:rPr>
            </w:r>
            <w:r>
              <w:rPr>
                <w:sz w:val="21"/>
              </w:rPr>
              <w:t>11.6%</w:t>
            </w:r>
          </w:p>
        </w:tc>
        <w:tc>
          <w:tcPr>
            <w:tcW w:type="dxa" w:w="3249"/>
          </w:tcPr>
          <w:p>
            <w:r>
              <w:rPr>
                <w:sz w:val="21"/>
              </w:rPr>
            </w:r>
            <w:r>
              <w:rPr>
                <w:sz w:val="21"/>
              </w:rPr>
              <w:t>+3.4 pp</w:t>
            </w:r>
          </w:p>
        </w:tc>
      </w:tr>
      <w:tr>
        <w:tc>
          <w:tcPr>
            <w:tcW w:type="dxa" w:w="3249"/>
          </w:tcPr>
          <w:p>
            <w:r>
              <w:rPr>
                <w:sz w:val="21"/>
              </w:rPr>
            </w:r>
            <w:r>
              <w:rPr>
                <w:sz w:val="21"/>
              </w:rPr>
              <w:t>Cambio a 5G Home (Telcel/AT&amp;T)</w:t>
            </w:r>
          </w:p>
        </w:tc>
        <w:tc>
          <w:tcPr>
            <w:tcW w:type="dxa" w:w="3249"/>
          </w:tcPr>
          <w:p>
            <w:r>
              <w:rPr>
                <w:sz w:val="21"/>
              </w:rPr>
            </w:r>
            <w:r>
              <w:rPr>
                <w:sz w:val="21"/>
              </w:rPr>
              <w:t>9.8%</w:t>
            </w:r>
          </w:p>
        </w:tc>
        <w:tc>
          <w:tcPr>
            <w:tcW w:type="dxa" w:w="3249"/>
          </w:tcPr>
          <w:p>
            <w:r>
              <w:rPr>
                <w:sz w:val="21"/>
              </w:rPr>
            </w:r>
            <w:r>
              <w:rPr>
                <w:sz w:val="21"/>
              </w:rPr>
              <w:t>+4.7 pp (nueva)</w:t>
            </w:r>
          </w:p>
        </w:tc>
      </w:tr>
      <w:tr>
        <w:tc>
          <w:tcPr>
            <w:tcW w:type="dxa" w:w="3249"/>
          </w:tcPr>
          <w:p>
            <w:r>
              <w:rPr>
                <w:sz w:val="21"/>
              </w:rPr>
            </w:r>
            <w:r>
              <w:rPr>
                <w:sz w:val="21"/>
              </w:rPr>
              <w:t>Otros</w:t>
            </w:r>
          </w:p>
        </w:tc>
        <w:tc>
          <w:tcPr>
            <w:tcW w:type="dxa" w:w="3249"/>
          </w:tcPr>
          <w:p>
            <w:r>
              <w:rPr>
                <w:sz w:val="21"/>
              </w:rPr>
            </w:r>
            <w:r>
              <w:rPr>
                <w:sz w:val="21"/>
              </w:rPr>
              <w:t>7.8%</w:t>
            </w:r>
          </w:p>
        </w:tc>
        <w:tc>
          <w:tcPr>
            <w:tcW w:type="dxa" w:w="3249"/>
          </w:tcPr>
          <w:p>
            <w:r>
              <w:rPr>
                <w:sz w:val="21"/>
              </w:rPr>
            </w:r>
            <w:r>
              <w:rPr>
                <w:sz w:val="21"/>
              </w:rPr>
              <w:t>—</w:t>
            </w:r>
          </w:p>
        </w:tc>
      </w:tr>
    </w:tbl>
    <w:p/>
    <w:p>
      <w:pPr>
        <w:pStyle w:val="Heading2"/>
      </w:pPr>
      <w:r>
        <w:rPr>
          <w:color w:val="0B2545"/>
        </w:rPr>
        <w:t>Hallazgo clave</w:t>
      </w:r>
    </w:p>
    <w:p>
      <w:r>
        <w:t xml:space="preserve">El </w:t>
      </w:r>
      <w:r>
        <w:rPr>
          <w:b/>
        </w:rPr>
        <w:t>5G Home</w:t>
      </w:r>
      <w:r>
        <w:t xml:space="preserve"> emerge como amenaza nueva: representa casi 10% de las bajas, inexistente hace 12 meses. Se concentra en ciudades medias donde Totalplay tiene red HFC más antigua, no FTTH.</w:t>
      </w:r>
    </w:p>
    <w:p>
      <w:pPr>
        <w:pStyle w:val="Heading1"/>
      </w:pPr>
      <w:r>
        <w:rPr>
          <w:color w:val="0B2545"/>
        </w:rPr>
        <w:t>3. Segmentación del Churn</w:t>
      </w:r>
    </w:p>
    <w:p>
      <w:pPr>
        <w:pStyle w:val="ListBullet"/>
      </w:pPr>
      <w:r>
        <w:rPr>
          <w:b/>
        </w:rPr>
        <w:t>Planes de 100 Mbps y menores:</w:t>
      </w:r>
      <w:r>
        <w:t xml:space="preserve"> churn 3.8% mensual – muy alto, clientes sensibles a precio.</w:t>
      </w:r>
    </w:p>
    <w:p>
      <w:pPr>
        <w:pStyle w:val="ListBullet"/>
      </w:pPr>
      <w:r>
        <w:rPr>
          <w:b/>
        </w:rPr>
        <w:t>Planes de 500 Mbps+:</w:t>
      </w:r>
      <w:r>
        <w:t xml:space="preserve"> churn 1.1% mensual – sanos, clientes premium.</w:t>
      </w:r>
    </w:p>
    <w:p>
      <w:pPr>
        <w:pStyle w:val="ListBullet"/>
      </w:pPr>
      <w:r>
        <w:rPr>
          <w:b/>
        </w:rPr>
        <w:t>Antigüedad &lt;12 meses:</w:t>
      </w:r>
      <w:r>
        <w:t xml:space="preserve"> churn 4.2% – problemática de promociones agresivas sin retención.</w:t>
      </w:r>
    </w:p>
    <w:p>
      <w:pPr>
        <w:pStyle w:val="ListBullet"/>
      </w:pPr>
      <w:r>
        <w:rPr>
          <w:b/>
        </w:rPr>
        <w:t>Antigüedad &gt;36 meses:</w:t>
      </w:r>
      <w:r>
        <w:t xml:space="preserve"> churn 0.9% – base leal.</w:t>
      </w:r>
    </w:p>
    <w:p>
      <w:pPr>
        <w:pStyle w:val="Heading1"/>
      </w:pPr>
      <w:r>
        <w:rPr>
          <w:color w:val="0B2545"/>
        </w:rPr>
        <w:t>4. Ciudades con Mayor Deterioro</w:t>
      </w:r>
    </w:p>
    <w:p>
      <w:pPr>
        <w:pStyle w:val="ListNumber"/>
      </w:pPr>
      <w:r>
        <w:rPr>
          <w:b/>
        </w:rPr>
        <w:t>León, Guanajuato</w:t>
      </w:r>
      <w:r>
        <w:t xml:space="preserve"> – churn 3.1%, agresividad de Megacable y 5G Home.</w:t>
      </w:r>
    </w:p>
    <w:p>
      <w:pPr>
        <w:pStyle w:val="ListNumber"/>
      </w:pPr>
      <w:r>
        <w:rPr>
          <w:b/>
        </w:rPr>
        <w:t>Mérida, Yucatán</w:t>
      </w:r>
      <w:r>
        <w:t xml:space="preserve"> – churn 2.9%, red HFC saturada.</w:t>
      </w:r>
    </w:p>
    <w:p>
      <w:pPr>
        <w:pStyle w:val="ListNumber"/>
      </w:pPr>
      <w:r>
        <w:rPr>
          <w:b/>
        </w:rPr>
        <w:t>Culiacán, Sinaloa</w:t>
      </w:r>
      <w:r>
        <w:t xml:space="preserve"> – churn 2.8%, problemas de atención presencial.</w:t>
      </w:r>
    </w:p>
    <w:p>
      <w:pPr>
        <w:pStyle w:val="ListNumber"/>
      </w:pPr>
      <w:r>
        <w:rPr>
          <w:b/>
        </w:rPr>
        <w:t>Toluca, Edomex</w:t>
      </w:r>
      <w:r>
        <w:t xml:space="preserve"> – churn 2.7%, izzi ofrece paquetes con Sky TV.</w:t>
      </w:r>
    </w:p>
    <w:p>
      <w:pPr>
        <w:pStyle w:val="Heading1"/>
      </w:pPr>
      <w:r>
        <w:rPr>
          <w:color w:val="0B2545"/>
        </w:rPr>
        <w:t>5. Acciones en Curso</w:t>
      </w:r>
    </w:p>
    <w:p>
      <w:pPr>
        <w:pStyle w:val="ListBullet"/>
      </w:pPr>
      <w:r>
        <w:t>Migración acelerada de HFC a FTTH en 12 ciudades prioritarias (CapEx MXN 1,800M en 2026).</w:t>
      </w:r>
    </w:p>
    <w:p>
      <w:pPr>
        <w:pStyle w:val="ListBullet"/>
      </w:pPr>
      <w:r>
        <w:t>Programa de retención "Totalplay + Claro Video + Disney+" en bundle a MXN 699.</w:t>
      </w:r>
    </w:p>
    <w:p>
      <w:pPr>
        <w:pStyle w:val="ListBullet"/>
      </w:pPr>
      <w:r>
        <w:t>Rediseño de IVR y canales de atención digital; meta: reducir tiempo de resolución de 72h a 24h.</w:t>
      </w:r>
    </w:p>
    <w:p>
      <w:pPr>
        <w:pStyle w:val="Heading1"/>
      </w:pPr>
      <w:r>
        <w:rPr>
          <w:color w:val="0B2545"/>
        </w:rPr>
        <w:t>6. Decisiones Pendientes</w:t>
      </w:r>
    </w:p>
    <w:p>
      <w:pPr>
        <w:pStyle w:val="ListBullet"/>
      </w:pPr>
      <w:r>
        <w:t>¿Igualamos precio de Megacable en planes de entrada, asumiendo presión en ARPU?</w:t>
      </w:r>
    </w:p>
    <w:p>
      <w:pPr>
        <w:pStyle w:val="ListBullet"/>
      </w:pPr>
      <w:r>
        <w:t>¿Aceleramos cierre de red HFC (CapEx adicional MXN 2,200M)?</w:t>
      </w:r>
    </w:p>
    <w:p>
      <w:pPr>
        <w:pStyle w:val="ListBullet"/>
      </w:pPr>
      <w:r>
        <w:t>¿Lanzamos producto Totalplay 5G móvil como complemento defensivo?</w:t>
      </w:r>
    </w:p>
    <w:p>
      <w:pPr>
        <w:pBdr>
          <w:bottom w:val="single" w:sz="6" w:space="1" w:color="B0B6C2"/>
        </w:pBdr>
      </w:pPr>
    </w:p>
    <w:p>
      <w:r>
        <w:rPr>
          <w:i/>
        </w:rPr>
        <w:t>Material preparado para Comité de Dirección Totalplay, segunda quincena de mayo 2026.</w:t>
      </w:r>
    </w:p>
    <w:sectPr w:rsidR="00FC693F" w:rsidRPr="0006063C" w:rsidSect="00034616">
      <w:pgSz w:w="12240" w:h="15840"/>
      <w:pgMar w:top="1134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B2545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B2545"/>
      <w:sz w:val="3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B2545"/>
      <w:sz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